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47C7" w14:textId="77777777" w:rsidR="00A7480F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8747F74" w14:textId="77777777" w:rsidR="00A7480F" w:rsidRPr="00B304E9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84A36AA" w14:textId="77777777" w:rsidR="00A7480F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52201A6F" w14:textId="77777777" w:rsidR="00A7480F" w:rsidRPr="004C3570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34A2E5C6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855A169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81E3A19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7AA79BB5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0B0D6BAA" w14:textId="77777777" w:rsidR="00A7480F" w:rsidRPr="004A011E" w:rsidRDefault="00A7480F" w:rsidP="00A7480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1CE80472" w14:textId="7BEC2D53" w:rsidR="00A7480F" w:rsidRPr="004A011E" w:rsidRDefault="00A7480F" w:rsidP="00A7480F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136500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0BFF38EC" w14:textId="77777777" w:rsidR="00A7480F" w:rsidRPr="004C3570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59376F5A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4</w:t>
      </w:r>
    </w:p>
    <w:p w14:paraId="3EB7C3A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DAF14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2C682A48" w14:textId="77777777" w:rsidR="00A7480F" w:rsidRDefault="00A7480F" w:rsidP="00A7480F">
      <w:pPr>
        <w:pStyle w:val="Default"/>
        <w:spacing w:line="276" w:lineRule="auto"/>
        <w:jc w:val="center"/>
      </w:pPr>
    </w:p>
    <w:p w14:paraId="332AEA0B" w14:textId="77777777" w:rsidR="00A7480F" w:rsidRDefault="00A7480F" w:rsidP="00A7480F">
      <w:pPr>
        <w:pStyle w:val="Default"/>
        <w:spacing w:line="276" w:lineRule="auto"/>
        <w:jc w:val="center"/>
      </w:pPr>
    </w:p>
    <w:p w14:paraId="10617254" w14:textId="77777777" w:rsidR="00A7480F" w:rsidRDefault="00A7480F" w:rsidP="00A7480F">
      <w:pPr>
        <w:pStyle w:val="Default"/>
        <w:spacing w:line="276" w:lineRule="auto"/>
        <w:jc w:val="center"/>
      </w:pPr>
    </w:p>
    <w:p w14:paraId="056BBB30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0F8DC8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36311ACF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4DE430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2DBE367D" w14:textId="77777777" w:rsidR="00A7480F" w:rsidRPr="000842A7" w:rsidRDefault="00A7480F" w:rsidP="00A7480F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53D362B" w14:textId="68122FC0" w:rsidR="00A7480F" w:rsidRDefault="00A7480F" w:rsidP="00A7480F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1B4F13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3A4593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="0013650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A4593">
        <w:rPr>
          <w:rFonts w:ascii="Cambria" w:hAnsi="Cambria" w:cs="MyriadPro-Black"/>
          <w:caps/>
          <w:color w:val="A6A6A6"/>
          <w:sz w:val="32"/>
          <w:szCs w:val="40"/>
        </w:rPr>
        <w:t>5</w:t>
      </w:r>
      <w:bookmarkStart w:id="0" w:name="_GoBack"/>
      <w:bookmarkEnd w:id="0"/>
      <w:r w:rsidR="00136500">
        <w:rPr>
          <w:rFonts w:ascii="Cambria" w:hAnsi="Cambria" w:cs="MyriadPro-Black"/>
          <w:caps/>
          <w:color w:val="A6A6A6"/>
          <w:sz w:val="32"/>
          <w:szCs w:val="40"/>
        </w:rPr>
        <w:t>. 2018</w:t>
      </w:r>
    </w:p>
    <w:p w14:paraId="48540AE1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5B322BEF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2ECC53A1" w14:textId="77777777" w:rsidR="002A460B" w:rsidRPr="002A460B" w:rsidRDefault="00A7480F" w:rsidP="004559AF">
      <w:pPr>
        <w:spacing w:after="120"/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br w:type="page"/>
      </w:r>
      <w:r w:rsidR="005C1894"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006976">
        <w:rPr>
          <w:rFonts w:asciiTheme="majorHAnsi" w:hAnsiTheme="majorHAnsi"/>
          <w:b/>
          <w:sz w:val="32"/>
        </w:rPr>
        <w:t>N</w:t>
      </w:r>
      <w:r w:rsidR="005C1894"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="005C1894" w:rsidRPr="002A460B">
        <w:rPr>
          <w:rFonts w:asciiTheme="majorHAnsi" w:hAnsiTheme="majorHAnsi"/>
          <w:b/>
          <w:sz w:val="32"/>
        </w:rPr>
        <w:t xml:space="preserve"> </w:t>
      </w:r>
      <w:r w:rsidR="004559AF">
        <w:rPr>
          <w:rFonts w:asciiTheme="majorHAnsi" w:hAnsiTheme="majorHAnsi"/>
          <w:b/>
          <w:sz w:val="32"/>
        </w:rPr>
        <w:t xml:space="preserve">Komise (EU) </w:t>
      </w:r>
      <w:r w:rsidR="005C1894" w:rsidRPr="002A460B">
        <w:rPr>
          <w:rFonts w:asciiTheme="majorHAnsi" w:hAnsiTheme="majorHAnsi"/>
          <w:b/>
          <w:sz w:val="32"/>
        </w:rPr>
        <w:t>č. 651/2014</w:t>
      </w:r>
    </w:p>
    <w:p w14:paraId="6FB11F3A" w14:textId="0DEEC429" w:rsidR="009559EF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  <w:r w:rsidR="00095C0D">
        <w:rPr>
          <w:rFonts w:asciiTheme="majorHAnsi" w:hAnsiTheme="majorHAnsi"/>
          <w:sz w:val="24"/>
        </w:rPr>
        <w:t xml:space="preserve"> </w:t>
      </w:r>
    </w:p>
    <w:p w14:paraId="7907E8CE" w14:textId="77777777" w:rsidR="0006503E" w:rsidRPr="002A460B" w:rsidRDefault="0006503E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3F7B270A" w14:textId="5599C0CB" w:rsidR="0006503E" w:rsidRDefault="0006503E" w:rsidP="0006503E">
      <w:pPr>
        <w:spacing w:after="0" w:line="240" w:lineRule="auto"/>
        <w:jc w:val="both"/>
        <w:rPr>
          <w:rFonts w:asciiTheme="majorHAnsi" w:hAnsiTheme="majorHAnsi"/>
        </w:rPr>
      </w:pPr>
      <w:r w:rsidRPr="0006503E">
        <w:rPr>
          <w:rFonts w:asciiTheme="majorHAnsi" w:hAnsiTheme="majorHAnsi"/>
        </w:rPr>
        <w:t xml:space="preserve">Prokázání motivačního účinku se vztahuje pouze na projekty v režimu blokových výjimek podle </w:t>
      </w:r>
      <w:r w:rsidR="00BE070A">
        <w:rPr>
          <w:rFonts w:asciiTheme="majorHAnsi" w:hAnsiTheme="majorHAnsi"/>
        </w:rPr>
        <w:t>N</w:t>
      </w:r>
      <w:r w:rsidRPr="0006503E">
        <w:rPr>
          <w:rFonts w:asciiTheme="majorHAnsi" w:hAnsiTheme="majorHAnsi"/>
        </w:rPr>
        <w:t xml:space="preserve">ařízení </w:t>
      </w:r>
      <w:r w:rsidR="00BE070A">
        <w:rPr>
          <w:rFonts w:asciiTheme="majorHAnsi" w:hAnsiTheme="majorHAnsi"/>
        </w:rPr>
        <w:t xml:space="preserve">Komise (EU) č. </w:t>
      </w:r>
      <w:r w:rsidRPr="0006503E">
        <w:rPr>
          <w:rFonts w:asciiTheme="majorHAnsi" w:hAnsiTheme="majorHAnsi"/>
        </w:rPr>
        <w:t>651/2014</w:t>
      </w:r>
      <w:r w:rsidR="00084BC2">
        <w:rPr>
          <w:rFonts w:asciiTheme="majorHAnsi" w:hAnsiTheme="majorHAnsi"/>
        </w:rPr>
        <w:t xml:space="preserve"> (dále jen „GBER“)</w:t>
      </w:r>
      <w:r w:rsidRPr="0006503E">
        <w:rPr>
          <w:rFonts w:asciiTheme="majorHAnsi" w:hAnsiTheme="majorHAnsi"/>
        </w:rPr>
        <w:t>, nikoli na projekty v režimu de minimis</w:t>
      </w:r>
      <w:r w:rsidR="00BE070A">
        <w:rPr>
          <w:rFonts w:asciiTheme="majorHAnsi" w:hAnsiTheme="majorHAnsi"/>
        </w:rPr>
        <w:t xml:space="preserve"> podle Nařízení Komise (EU) č. 1407/2013</w:t>
      </w:r>
      <w:r w:rsidRPr="0006503E">
        <w:rPr>
          <w:rFonts w:asciiTheme="majorHAnsi" w:hAnsiTheme="majorHAnsi"/>
        </w:rPr>
        <w:t>.</w:t>
      </w:r>
    </w:p>
    <w:p w14:paraId="72957C60" w14:textId="77777777" w:rsidR="00014DAD" w:rsidRPr="002A460B" w:rsidRDefault="00014DAD" w:rsidP="002A460B">
      <w:pPr>
        <w:spacing w:after="0" w:line="240" w:lineRule="auto"/>
        <w:rPr>
          <w:rFonts w:asciiTheme="majorHAnsi" w:hAnsiTheme="majorHAnsi"/>
        </w:rPr>
      </w:pPr>
    </w:p>
    <w:p w14:paraId="6BD17598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 a nemůže být proto schválena.</w:t>
      </w:r>
      <w:r>
        <w:rPr>
          <w:rFonts w:asciiTheme="majorHAnsi" w:hAnsiTheme="majorHAnsi"/>
        </w:rPr>
        <w:t xml:space="preserve"> </w:t>
      </w:r>
    </w:p>
    <w:p w14:paraId="5D9938D6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5A2643E1" w14:textId="4AFEDB88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</w:t>
      </w:r>
      <w:r w:rsidR="00095C0D">
        <w:rPr>
          <w:rFonts w:asciiTheme="majorHAnsi" w:hAnsiTheme="majorHAnsi"/>
        </w:rPr>
        <w:t xml:space="preserve">nezahájil či </w:t>
      </w:r>
      <w:r>
        <w:rPr>
          <w:rFonts w:asciiTheme="majorHAnsi" w:hAnsiTheme="majorHAnsi"/>
        </w:rPr>
        <w:t xml:space="preserve">nevykonával nebo by ji </w:t>
      </w:r>
      <w:r w:rsidR="00095C0D">
        <w:rPr>
          <w:rFonts w:asciiTheme="majorHAnsi" w:hAnsiTheme="majorHAnsi"/>
        </w:rPr>
        <w:t xml:space="preserve">zahájil či </w:t>
      </w:r>
      <w:r>
        <w:rPr>
          <w:rFonts w:asciiTheme="majorHAnsi" w:hAnsiTheme="majorHAnsi"/>
        </w:rPr>
        <w:t xml:space="preserve">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0906FC4A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C09456C" w14:textId="6F670379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5DFD3A48" w14:textId="5E7D8789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54F95F8B" w14:textId="77777777" w:rsidR="00095C0D" w:rsidRPr="00EE486E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b/>
        </w:rPr>
      </w:pPr>
      <w:r w:rsidRPr="00EE486E">
        <w:rPr>
          <w:rFonts w:asciiTheme="majorHAnsi" w:hAnsiTheme="majorHAnsi"/>
          <w:b/>
        </w:rPr>
        <w:t>UPOZORNĚNÍ</w:t>
      </w:r>
    </w:p>
    <w:p w14:paraId="7DD327E4" w14:textId="1BE80FAB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28AE5236" w14:textId="77777777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294A92D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C2AE8BB" w14:textId="1A2399A8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 w:rsidRPr="00FF75F8">
        <w:rPr>
          <w:rFonts w:asciiTheme="majorHAnsi" w:hAnsiTheme="majorHAnsi"/>
        </w:rPr>
        <w:t>Při volbě postupu zadání zakázky zadavatel musí zohlednit nejen pravidla pro zadávání zakázek IROP (</w:t>
      </w:r>
      <w:r w:rsidR="001C5BA9">
        <w:rPr>
          <w:rFonts w:asciiTheme="majorHAnsi" w:hAnsiTheme="majorHAnsi"/>
        </w:rPr>
        <w:t xml:space="preserve">zákon č. 134/20169 Sb., o zadávání veřejných zakázek, ve znění pozdějších předpisů, </w:t>
      </w:r>
      <w:r w:rsidR="001C5BA9" w:rsidRPr="001C5BA9">
        <w:rPr>
          <w:rFonts w:asciiTheme="majorHAnsi" w:hAnsiTheme="majorHAnsi"/>
        </w:rPr>
        <w:t>Metodick</w:t>
      </w:r>
      <w:r w:rsidR="001C5BA9">
        <w:rPr>
          <w:rFonts w:asciiTheme="majorHAnsi" w:hAnsiTheme="majorHAnsi"/>
        </w:rPr>
        <w:t>ý</w:t>
      </w:r>
      <w:r w:rsidR="001C5BA9" w:rsidRPr="001C5BA9">
        <w:rPr>
          <w:rFonts w:asciiTheme="majorHAnsi" w:hAnsiTheme="majorHAnsi"/>
        </w:rPr>
        <w:t xml:space="preserve"> pokyn pro oblast zadávání zakázek pro programové období 2014-2020</w:t>
      </w:r>
      <w:r w:rsidRPr="00FF75F8">
        <w:rPr>
          <w:rFonts w:asciiTheme="majorHAnsi" w:hAnsiTheme="majorHAnsi"/>
        </w:rPr>
        <w:t>), ale i podmínku dodržení motivačního účinku.</w:t>
      </w:r>
    </w:p>
    <w:p w14:paraId="752F2F6A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2E3ADB69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Zahájení zadávacího/výběrového řízení před podáním žádosti o podporu</w:t>
      </w:r>
    </w:p>
    <w:p w14:paraId="2300262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zahájení zadávacího/výběrového řízení před podáním žádosti o podporu splnění podmínky motivačního účinku závisí na posouzení, zda zahájení zadávacího řízení má či nemá charakter závazku, v jehož důsledku se investice stává nezvratnou. Pokud zadavatel je oprávněn zadávací/výběrové řízení (např. z důvodu neobdržení podpory) zrušit, nepředstavuje zahájení zadávacího/výběrového řízení závazek, v jehož důsledku se investice stává nezvratnou. Zahájením zadávacího/výběrového řízení před podáním žádosti o podporu by v takovém případě nedošlo k porušení podmínky motivačního účinku. </w:t>
      </w:r>
    </w:p>
    <w:p w14:paraId="57C5A72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4AA40FC" w14:textId="156AACD7" w:rsidR="00095C0D" w:rsidRPr="00AA2C8D" w:rsidRDefault="00B635B4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</w:t>
      </w:r>
      <w:r w:rsidR="00095C0D" w:rsidRPr="00AA2C8D">
        <w:rPr>
          <w:rFonts w:asciiTheme="majorHAnsi" w:hAnsiTheme="majorHAnsi"/>
          <w:b/>
        </w:rPr>
        <w:t>zavření smlouvy na plnění zakázky před podáním žádosti o podporu</w:t>
      </w:r>
    </w:p>
    <w:p w14:paraId="228BD7C5" w14:textId="5BA3D00D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uzavření smlouvy nepředstavuje závazek, v jehož důsledku se investice stává nezvratnou, pak zahájením prací, a tedy uzavřením </w:t>
      </w:r>
      <w:r w:rsidR="00084BC2">
        <w:rPr>
          <w:rFonts w:asciiTheme="majorHAnsi" w:hAnsiTheme="majorHAnsi"/>
        </w:rPr>
        <w:t xml:space="preserve">smlouvy </w:t>
      </w:r>
      <w:r>
        <w:rPr>
          <w:rFonts w:asciiTheme="majorHAnsi" w:hAnsiTheme="majorHAnsi"/>
        </w:rPr>
        <w:t xml:space="preserve">před podáním žádosti o podporu nedojde k porušení podmínky motivačního účinku. </w:t>
      </w:r>
    </w:p>
    <w:p w14:paraId="69E15A55" w14:textId="36717C8F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K zahájení prací</w:t>
      </w:r>
      <w:r w:rsidDel="00D748D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nedojde, pokud smlouva umožňuje zadavateli bez sankce před realizací projektu od ní jednostranně odstoupit, případně je-li účinnost smlouvy podmíněna tím, že zadavatel obdrží na předmět plnění smlouvy podporu. </w:t>
      </w:r>
    </w:p>
    <w:p w14:paraId="055370C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6D1B6753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Uzavření smlouvy na plnění zakázky a provedení přípravných prací podle takové smlouvy před podáním žádosti o podporu</w:t>
      </w:r>
    </w:p>
    <w:p w14:paraId="4F57C8D9" w14:textId="150F2941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Pokud předmětem plnění jedné smlouvy je realizace samotného projektu (investice) a zároveň přípravné práce, pak její uzavření před podáním žádosti o podporu je možné, pokud zadavatel je oprávněn před realizací projektu jednostrann</w:t>
      </w:r>
      <w:r w:rsidR="00C536DF">
        <w:rPr>
          <w:rFonts w:asciiTheme="majorHAnsi" w:hAnsiTheme="majorHAnsi"/>
        </w:rPr>
        <w:t>ě</w:t>
      </w:r>
      <w:r>
        <w:rPr>
          <w:rFonts w:asciiTheme="majorHAnsi" w:hAnsiTheme="majorHAnsi"/>
        </w:rPr>
        <w:t xml:space="preserve"> od smlouvy bez sankcí </w:t>
      </w:r>
      <w:r w:rsidR="00C536DF">
        <w:rPr>
          <w:rFonts w:asciiTheme="majorHAnsi" w:hAnsiTheme="majorHAnsi"/>
        </w:rPr>
        <w:t xml:space="preserve">odstoupit </w:t>
      </w:r>
      <w:r>
        <w:rPr>
          <w:rFonts w:asciiTheme="majorHAnsi" w:hAnsiTheme="majorHAnsi"/>
        </w:rPr>
        <w:t xml:space="preserve">nebo účinnost části smlouvy, která upravuje realizaci projektu, je podmíněna obdržením podpory. </w:t>
      </w:r>
    </w:p>
    <w:p w14:paraId="75C103AC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08B6CB55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Realizace přípravných prací</w:t>
      </w:r>
    </w:p>
    <w:p w14:paraId="67A33A71" w14:textId="5F92BE8B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Část plnění smlouvy na realizaci přípravných </w:t>
      </w:r>
      <w:r w:rsidR="00B635B4">
        <w:rPr>
          <w:rFonts w:asciiTheme="majorHAnsi" w:hAnsiTheme="majorHAnsi"/>
        </w:rPr>
        <w:t xml:space="preserve">prací </w:t>
      </w:r>
      <w:r>
        <w:rPr>
          <w:rFonts w:asciiTheme="majorHAnsi" w:hAnsiTheme="majorHAnsi"/>
        </w:rPr>
        <w:t xml:space="preserve"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 GBER. Přípravné práce a práce na realizaci samotného projektu by měly být ve smlouvě jasně odděleny. </w:t>
      </w:r>
    </w:p>
    <w:p w14:paraId="7C05F49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Činnosti, které je možné zahájit před podáním žádosti o podporu, ale výdaje na jejich úhradu nesmí být zahrnuty do způsobilých výdajů:</w:t>
      </w:r>
    </w:p>
    <w:p w14:paraId="0B852225" w14:textId="77777777" w:rsidR="00095C0D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projektová dokumentace;</w:t>
      </w:r>
    </w:p>
    <w:p w14:paraId="5A7AF779" w14:textId="77777777" w:rsidR="00095C0D" w:rsidRPr="003F1EA5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kupní smlouvy na nákup nemovitostí. </w:t>
      </w:r>
    </w:p>
    <w:p w14:paraId="3A74B84C" w14:textId="4CB01672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Projektové dokumentace lze zařadit do způsobilých výdajů v případě využití aplikace Nařízení Komise (EU) č. 1407/2013 na tyto položky rozpočtu. </w:t>
      </w:r>
    </w:p>
    <w:p w14:paraId="10C57441" w14:textId="77777777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6E65CBD1" w14:textId="63E87C5F" w:rsidR="00BB0589" w:rsidRDefault="00BB0589" w:rsidP="00BB0589">
      <w:pPr>
        <w:spacing w:after="0" w:line="240" w:lineRule="auto"/>
        <w:jc w:val="both"/>
        <w:rPr>
          <w:rFonts w:asciiTheme="majorHAnsi" w:hAnsiTheme="majorHAnsi"/>
        </w:rPr>
      </w:pPr>
      <w:r w:rsidRPr="002B60FB">
        <w:rPr>
          <w:rFonts w:asciiTheme="majorHAnsi" w:hAnsiTheme="majorHAnsi"/>
        </w:rPr>
        <w:t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</w:t>
      </w:r>
      <w:r>
        <w:rPr>
          <w:rFonts w:asciiTheme="majorHAnsi" w:hAnsiTheme="majorHAnsi"/>
        </w:rPr>
        <w:t> </w:t>
      </w:r>
      <w:r w:rsidRPr="002B60FB">
        <w:rPr>
          <w:rFonts w:asciiTheme="majorHAnsi" w:hAnsiTheme="majorHAnsi"/>
        </w:rPr>
        <w:t xml:space="preserve">podporu, splňuji podmínku motivačního účinku. </w:t>
      </w:r>
      <w:r w:rsidR="00C91249">
        <w:rPr>
          <w:rFonts w:asciiTheme="majorHAnsi" w:hAnsiTheme="majorHAnsi"/>
        </w:rPr>
        <w:t xml:space="preserve">Žadatel o podporu popíše veškeré skutečnosti v části 6 Připravenost projektu k realizaci povinné přílohy </w:t>
      </w:r>
      <w:r w:rsidR="00AE2855">
        <w:rPr>
          <w:rFonts w:asciiTheme="majorHAnsi" w:hAnsiTheme="majorHAnsi"/>
        </w:rPr>
        <w:t xml:space="preserve">č. 3 </w:t>
      </w:r>
      <w:r w:rsidR="00C91249">
        <w:rPr>
          <w:rFonts w:asciiTheme="majorHAnsi" w:hAnsiTheme="majorHAnsi"/>
        </w:rPr>
        <w:t>Poklady pro hodnocení.</w:t>
      </w:r>
    </w:p>
    <w:p w14:paraId="5248FD92" w14:textId="77777777" w:rsidR="00BB0589" w:rsidRDefault="00BB0589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5534B290" w14:textId="1FBE6ED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</w:t>
      </w:r>
      <w:r w:rsidR="00B866B9">
        <w:rPr>
          <w:rFonts w:asciiTheme="majorHAnsi" w:hAnsiTheme="majorHAnsi"/>
        </w:rPr>
        <w:t>ne</w:t>
      </w:r>
      <w:r w:rsidR="004E7454">
        <w:rPr>
          <w:rFonts w:asciiTheme="majorHAnsi" w:hAnsiTheme="majorHAnsi"/>
        </w:rPr>
        <w:t>může před podáním žádosti</w:t>
      </w:r>
      <w:r w:rsidR="004D73B5">
        <w:rPr>
          <w:rFonts w:asciiTheme="majorHAnsi" w:hAnsiTheme="majorHAnsi"/>
        </w:rPr>
        <w:t xml:space="preserve"> ve specifickém cíli 2.5</w:t>
      </w:r>
      <w:r w:rsidR="004E7454">
        <w:rPr>
          <w:rFonts w:asciiTheme="majorHAnsi" w:hAnsiTheme="majorHAnsi"/>
        </w:rPr>
        <w:t xml:space="preserve"> </w:t>
      </w:r>
      <w:r w:rsidR="00AE2855">
        <w:rPr>
          <w:rFonts w:asciiTheme="majorHAnsi" w:hAnsiTheme="majorHAnsi"/>
        </w:rPr>
        <w:t xml:space="preserve">IROP </w:t>
      </w:r>
      <w:r w:rsidR="004E7454">
        <w:rPr>
          <w:rFonts w:asciiTheme="majorHAnsi" w:hAnsiTheme="majorHAnsi"/>
        </w:rPr>
        <w:t xml:space="preserve">realizovat </w:t>
      </w:r>
      <w:r>
        <w:rPr>
          <w:rFonts w:asciiTheme="majorHAnsi" w:hAnsiTheme="majorHAnsi"/>
        </w:rPr>
        <w:t>činnosti, uvedené v</w:t>
      </w:r>
      <w:r w:rsidR="004D73B5">
        <w:rPr>
          <w:rFonts w:asciiTheme="majorHAnsi" w:hAnsiTheme="majorHAnsi"/>
        </w:rPr>
        <w:t> </w:t>
      </w:r>
      <w:r>
        <w:rPr>
          <w:rFonts w:asciiTheme="majorHAnsi" w:hAnsiTheme="majorHAnsi"/>
        </w:rPr>
        <w:t>tabulce</w:t>
      </w:r>
      <w:r w:rsidR="004D73B5">
        <w:rPr>
          <w:rFonts w:asciiTheme="majorHAnsi" w:hAnsiTheme="majorHAnsi"/>
        </w:rPr>
        <w:t>:</w:t>
      </w:r>
      <w:r w:rsidR="004E7454">
        <w:rPr>
          <w:rFonts w:asciiTheme="majorHAnsi" w:hAnsiTheme="majorHAnsi"/>
        </w:rPr>
        <w:t xml:space="preserve"> </w:t>
      </w:r>
    </w:p>
    <w:p w14:paraId="61B3270F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</w:tblGrid>
      <w:tr w:rsidR="00172EC3" w:rsidRPr="006062C2" w14:paraId="760284B6" w14:textId="77777777" w:rsidTr="00B63ECA">
        <w:trPr>
          <w:trHeight w:val="676"/>
          <w:jc w:val="center"/>
        </w:trPr>
        <w:tc>
          <w:tcPr>
            <w:tcW w:w="4606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C9EBD" w14:textId="77777777" w:rsidR="00172EC3" w:rsidRPr="006062C2" w:rsidRDefault="00172EC3" w:rsidP="00014DAD">
            <w:pPr>
              <w:spacing w:before="60" w:after="6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Činnosti, které </w:t>
            </w:r>
            <w:r w:rsidRPr="006062C2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není možné</w:t>
            </w: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 zahájit před podáním žádosti o podporu</w:t>
            </w:r>
          </w:p>
        </w:tc>
      </w:tr>
      <w:tr w:rsidR="00172EC3" w:rsidRPr="006062C2" w14:paraId="406AEB2C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C8E46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Nákup movitého majetku (například vybavení staveb).</w:t>
            </w:r>
          </w:p>
        </w:tc>
      </w:tr>
      <w:tr w:rsidR="00172EC3" w:rsidRPr="006062C2" w14:paraId="1BB70539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3FA9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Zahájení stavebních prací.</w:t>
            </w:r>
          </w:p>
        </w:tc>
      </w:tr>
    </w:tbl>
    <w:p w14:paraId="5750127B" w14:textId="77777777" w:rsidR="000F475D" w:rsidRPr="002A460B" w:rsidRDefault="000F475D" w:rsidP="00B866B9">
      <w:pPr>
        <w:spacing w:after="0" w:line="240" w:lineRule="auto"/>
        <w:jc w:val="both"/>
        <w:rPr>
          <w:rFonts w:asciiTheme="majorHAnsi" w:hAnsiTheme="majorHAnsi"/>
        </w:rPr>
      </w:pPr>
    </w:p>
    <w:sectPr w:rsidR="000F475D" w:rsidRPr="002A460B" w:rsidSect="00B63E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4ADDE" w14:textId="77777777" w:rsidR="00236227" w:rsidRDefault="00236227" w:rsidP="005C1894">
      <w:pPr>
        <w:spacing w:after="0" w:line="240" w:lineRule="auto"/>
      </w:pPr>
      <w:r>
        <w:separator/>
      </w:r>
    </w:p>
  </w:endnote>
  <w:endnote w:type="continuationSeparator" w:id="0">
    <w:p w14:paraId="6634F313" w14:textId="77777777" w:rsidR="00236227" w:rsidRDefault="00236227" w:rsidP="005C1894">
      <w:pPr>
        <w:spacing w:after="0" w:line="240" w:lineRule="auto"/>
      </w:pPr>
      <w:r>
        <w:continuationSeparator/>
      </w:r>
    </w:p>
  </w:endnote>
  <w:endnote w:type="continuationNotice" w:id="1">
    <w:p w14:paraId="68F217CE" w14:textId="77777777" w:rsidR="00236227" w:rsidRDefault="00236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5A333" w14:textId="77777777" w:rsidR="006062C2" w:rsidRDefault="006062C2">
    <w:pPr>
      <w:pStyle w:val="Zpat"/>
      <w:rPr>
        <w:rFonts w:asciiTheme="majorHAnsi" w:hAnsiTheme="majorHAnsi"/>
      </w:rPr>
    </w:pPr>
  </w:p>
  <w:p w14:paraId="63929538" w14:textId="77777777" w:rsidR="006062C2" w:rsidRDefault="006062C2">
    <w:pPr>
      <w:pStyle w:val="Zpat"/>
      <w:rPr>
        <w:rFonts w:asciiTheme="majorHAnsi" w:hAnsiTheme="majorHAnsi"/>
      </w:rPr>
    </w:pPr>
  </w:p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2F0DE696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73804E" w14:textId="6DE2EA2C" w:rsidR="006062C2" w:rsidRPr="00E47FC1" w:rsidRDefault="006062C2" w:rsidP="000A0E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A459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A459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53CF73" w14:textId="77777777" w:rsidR="00236227" w:rsidRPr="00764C07" w:rsidRDefault="00236227" w:rsidP="006062C2">
    <w:pPr>
      <w:pStyle w:val="Zpat"/>
      <w:rPr>
        <w:rFonts w:asciiTheme="majorHAnsi" w:hAnsiTheme="maj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74104988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AC539B" w14:textId="2FF43E44" w:rsidR="006062C2" w:rsidRPr="006062C2" w:rsidRDefault="006062C2" w:rsidP="000A0EE1">
          <w:pPr>
            <w:pStyle w:val="Zpat"/>
            <w:jc w:val="right"/>
            <w:rPr>
              <w:rFonts w:asciiTheme="majorHAnsi" w:hAnsiTheme="majorHAnsi" w:cs="Arial"/>
              <w:sz w:val="20"/>
            </w:rPr>
          </w:pPr>
          <w:r w:rsidRPr="006062C2">
            <w:rPr>
              <w:rFonts w:asciiTheme="majorHAnsi" w:hAnsiTheme="majorHAnsi" w:cs="Arial"/>
              <w:sz w:val="20"/>
            </w:rPr>
            <w:t xml:space="preserve">Strana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PAGE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3A4593">
            <w:rPr>
              <w:rStyle w:val="slostrnky"/>
              <w:rFonts w:asciiTheme="majorHAnsi" w:hAnsiTheme="majorHAnsi" w:cs="Arial"/>
              <w:noProof/>
              <w:sz w:val="20"/>
            </w:rPr>
            <w:t>1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t xml:space="preserve"> z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NUMPAGES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3A4593">
            <w:rPr>
              <w:rStyle w:val="slostrnky"/>
              <w:rFonts w:asciiTheme="majorHAnsi" w:hAnsiTheme="majorHAnsi" w:cs="Arial"/>
              <w:noProof/>
              <w:sz w:val="20"/>
            </w:rPr>
            <w:t>3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</w:p>
      </w:tc>
    </w:tr>
  </w:tbl>
  <w:p w14:paraId="2FE1D9A6" w14:textId="77777777" w:rsidR="006062C2" w:rsidRDefault="006062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6BAA2" w14:textId="77777777" w:rsidR="00236227" w:rsidRDefault="00236227" w:rsidP="005C1894">
      <w:pPr>
        <w:spacing w:after="0" w:line="240" w:lineRule="auto"/>
      </w:pPr>
      <w:r>
        <w:separator/>
      </w:r>
    </w:p>
  </w:footnote>
  <w:footnote w:type="continuationSeparator" w:id="0">
    <w:p w14:paraId="0C827817" w14:textId="77777777" w:rsidR="00236227" w:rsidRDefault="00236227" w:rsidP="005C1894">
      <w:pPr>
        <w:spacing w:after="0" w:line="240" w:lineRule="auto"/>
      </w:pPr>
      <w:r>
        <w:continuationSeparator/>
      </w:r>
    </w:p>
  </w:footnote>
  <w:footnote w:type="continuationNotice" w:id="1">
    <w:p w14:paraId="049E6E63" w14:textId="77777777" w:rsidR="00236227" w:rsidRDefault="002362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A8AE" w14:textId="77777777" w:rsidR="00014DAD" w:rsidRDefault="00014DAD">
    <w:pPr>
      <w:pStyle w:val="Zhlav"/>
    </w:pPr>
    <w:r>
      <w:rPr>
        <w:noProof/>
        <w:lang w:eastAsia="cs-CZ"/>
      </w:rPr>
      <w:drawing>
        <wp:inline distT="0" distB="0" distL="0" distR="0" wp14:anchorId="464F3D5A" wp14:editId="68F16DA0">
          <wp:extent cx="4704203" cy="777985"/>
          <wp:effectExtent l="0" t="0" r="1270" b="3175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C62B" w14:textId="77777777" w:rsidR="00A7480F" w:rsidRDefault="00A7480F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077B5A" wp14:editId="6713F892">
          <wp:extent cx="4704203" cy="777985"/>
          <wp:effectExtent l="0" t="0" r="1270" b="3175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33CF"/>
    <w:multiLevelType w:val="hybridMultilevel"/>
    <w:tmpl w:val="A970B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06976"/>
    <w:rsid w:val="00014645"/>
    <w:rsid w:val="00014DAD"/>
    <w:rsid w:val="00016E7F"/>
    <w:rsid w:val="00027C17"/>
    <w:rsid w:val="00045A3C"/>
    <w:rsid w:val="00056129"/>
    <w:rsid w:val="00061DC0"/>
    <w:rsid w:val="0006503E"/>
    <w:rsid w:val="0007415E"/>
    <w:rsid w:val="00084BC2"/>
    <w:rsid w:val="00087DAF"/>
    <w:rsid w:val="000904DB"/>
    <w:rsid w:val="00095C0D"/>
    <w:rsid w:val="000A6380"/>
    <w:rsid w:val="000B0777"/>
    <w:rsid w:val="000B5362"/>
    <w:rsid w:val="000D284C"/>
    <w:rsid w:val="000F31FC"/>
    <w:rsid w:val="000F475D"/>
    <w:rsid w:val="00103C29"/>
    <w:rsid w:val="00123D75"/>
    <w:rsid w:val="0012505D"/>
    <w:rsid w:val="00133A01"/>
    <w:rsid w:val="00136500"/>
    <w:rsid w:val="00167774"/>
    <w:rsid w:val="00172EC3"/>
    <w:rsid w:val="00197370"/>
    <w:rsid w:val="001B4F13"/>
    <w:rsid w:val="001C365B"/>
    <w:rsid w:val="001C5BA9"/>
    <w:rsid w:val="001C711D"/>
    <w:rsid w:val="001E5C03"/>
    <w:rsid w:val="00203B3E"/>
    <w:rsid w:val="002162C5"/>
    <w:rsid w:val="00232B24"/>
    <w:rsid w:val="00236227"/>
    <w:rsid w:val="00240ED6"/>
    <w:rsid w:val="00292D8A"/>
    <w:rsid w:val="0029369E"/>
    <w:rsid w:val="002953DF"/>
    <w:rsid w:val="002A460B"/>
    <w:rsid w:val="002E07F9"/>
    <w:rsid w:val="002E5F57"/>
    <w:rsid w:val="00321B42"/>
    <w:rsid w:val="0033187C"/>
    <w:rsid w:val="003355CF"/>
    <w:rsid w:val="00345812"/>
    <w:rsid w:val="003565C2"/>
    <w:rsid w:val="00366D27"/>
    <w:rsid w:val="00384E53"/>
    <w:rsid w:val="00390BBC"/>
    <w:rsid w:val="00390F89"/>
    <w:rsid w:val="003A2CB5"/>
    <w:rsid w:val="003A4593"/>
    <w:rsid w:val="003E1C7E"/>
    <w:rsid w:val="003E513E"/>
    <w:rsid w:val="003F0AC4"/>
    <w:rsid w:val="003F23B8"/>
    <w:rsid w:val="0043081F"/>
    <w:rsid w:val="00442CE6"/>
    <w:rsid w:val="00443192"/>
    <w:rsid w:val="004461D2"/>
    <w:rsid w:val="004559AF"/>
    <w:rsid w:val="004713B1"/>
    <w:rsid w:val="00482B96"/>
    <w:rsid w:val="004906D8"/>
    <w:rsid w:val="00490AA7"/>
    <w:rsid w:val="00491DA0"/>
    <w:rsid w:val="004D73B5"/>
    <w:rsid w:val="004E7454"/>
    <w:rsid w:val="0051003C"/>
    <w:rsid w:val="0055761B"/>
    <w:rsid w:val="005A6B58"/>
    <w:rsid w:val="005C1894"/>
    <w:rsid w:val="005D310F"/>
    <w:rsid w:val="005E1B54"/>
    <w:rsid w:val="005F2C60"/>
    <w:rsid w:val="006062C2"/>
    <w:rsid w:val="00637ED1"/>
    <w:rsid w:val="00684750"/>
    <w:rsid w:val="00685514"/>
    <w:rsid w:val="006C6638"/>
    <w:rsid w:val="006E0632"/>
    <w:rsid w:val="006E7DEC"/>
    <w:rsid w:val="006F6492"/>
    <w:rsid w:val="007128AD"/>
    <w:rsid w:val="00741028"/>
    <w:rsid w:val="007430C6"/>
    <w:rsid w:val="00750FE5"/>
    <w:rsid w:val="00752773"/>
    <w:rsid w:val="00764C07"/>
    <w:rsid w:val="00795CC9"/>
    <w:rsid w:val="0079715E"/>
    <w:rsid w:val="007A16BC"/>
    <w:rsid w:val="007A7C19"/>
    <w:rsid w:val="007B7365"/>
    <w:rsid w:val="007E1640"/>
    <w:rsid w:val="00804E64"/>
    <w:rsid w:val="00805896"/>
    <w:rsid w:val="00833F8B"/>
    <w:rsid w:val="00886183"/>
    <w:rsid w:val="008976B0"/>
    <w:rsid w:val="008D3211"/>
    <w:rsid w:val="008D3D13"/>
    <w:rsid w:val="008E13DC"/>
    <w:rsid w:val="00910C9C"/>
    <w:rsid w:val="00924A76"/>
    <w:rsid w:val="00930DB5"/>
    <w:rsid w:val="009324AA"/>
    <w:rsid w:val="0093722A"/>
    <w:rsid w:val="00953CB8"/>
    <w:rsid w:val="009559EF"/>
    <w:rsid w:val="00976900"/>
    <w:rsid w:val="009B2415"/>
    <w:rsid w:val="009B7EDF"/>
    <w:rsid w:val="00A13D35"/>
    <w:rsid w:val="00A70034"/>
    <w:rsid w:val="00A7480F"/>
    <w:rsid w:val="00AE2855"/>
    <w:rsid w:val="00B133AF"/>
    <w:rsid w:val="00B318C5"/>
    <w:rsid w:val="00B635B4"/>
    <w:rsid w:val="00B63ECA"/>
    <w:rsid w:val="00B77B82"/>
    <w:rsid w:val="00B866B9"/>
    <w:rsid w:val="00B92AFD"/>
    <w:rsid w:val="00BB0589"/>
    <w:rsid w:val="00BB461A"/>
    <w:rsid w:val="00BC60E4"/>
    <w:rsid w:val="00BE070A"/>
    <w:rsid w:val="00C2107B"/>
    <w:rsid w:val="00C339E2"/>
    <w:rsid w:val="00C4473E"/>
    <w:rsid w:val="00C536DF"/>
    <w:rsid w:val="00C55396"/>
    <w:rsid w:val="00C76752"/>
    <w:rsid w:val="00C91249"/>
    <w:rsid w:val="00C9435C"/>
    <w:rsid w:val="00CA6959"/>
    <w:rsid w:val="00CC3D11"/>
    <w:rsid w:val="00D041BE"/>
    <w:rsid w:val="00D06B0E"/>
    <w:rsid w:val="00D1064D"/>
    <w:rsid w:val="00D349E2"/>
    <w:rsid w:val="00D8218D"/>
    <w:rsid w:val="00DA145D"/>
    <w:rsid w:val="00DB15D7"/>
    <w:rsid w:val="00DC3476"/>
    <w:rsid w:val="00DC640B"/>
    <w:rsid w:val="00DD4789"/>
    <w:rsid w:val="00DD6BFF"/>
    <w:rsid w:val="00DF1E19"/>
    <w:rsid w:val="00E03D76"/>
    <w:rsid w:val="00E21537"/>
    <w:rsid w:val="00E43E2E"/>
    <w:rsid w:val="00E47450"/>
    <w:rsid w:val="00E52825"/>
    <w:rsid w:val="00E52ED5"/>
    <w:rsid w:val="00E84086"/>
    <w:rsid w:val="00E84EC5"/>
    <w:rsid w:val="00EB6FFA"/>
    <w:rsid w:val="00EC61DC"/>
    <w:rsid w:val="00EE1570"/>
    <w:rsid w:val="00EE4024"/>
    <w:rsid w:val="00F12AD7"/>
    <w:rsid w:val="00F42108"/>
    <w:rsid w:val="00F56B3B"/>
    <w:rsid w:val="00F64DB5"/>
    <w:rsid w:val="00F8428E"/>
    <w:rsid w:val="00F9477B"/>
    <w:rsid w:val="00FB32A1"/>
    <w:rsid w:val="00FB3AF5"/>
    <w:rsid w:val="00FB40F1"/>
    <w:rsid w:val="00FD2F96"/>
    <w:rsid w:val="00FE0EDF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5447B5B"/>
  <w15:docId w15:val="{7C3DE0F0-72C5-4464-B7D6-1EA6AC6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A7480F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748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uiPriority w:val="99"/>
    <w:rsid w:val="006062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E8B3B-F665-46FA-A459-174AF7BB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uživatel</cp:lastModifiedBy>
  <cp:revision>2</cp:revision>
  <cp:lastPrinted>2015-12-04T11:21:00Z</cp:lastPrinted>
  <dcterms:created xsi:type="dcterms:W3CDTF">2018-05-03T12:24:00Z</dcterms:created>
  <dcterms:modified xsi:type="dcterms:W3CDTF">2018-05-03T12:24:00Z</dcterms:modified>
</cp:coreProperties>
</file>